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405</w:t>
      </w:r>
    </w:p>
    <w:p>
      <w:r>
        <w:t>Bundesgericht (BGE), 2009-04-22, FR</w:t>
      </w:r>
    </w:p>
    <w:p>
      <w:r>
        <w:rPr>
          <w:b/>
        </w:rPr>
        <w:t xml:space="preserve">Quelle: </w:t>
      </w:r>
      <w:r>
        <w:t>https://mcp.opencaselaw.ch/entscheid/bge_135 III 405</w:t>
      </w:r>
    </w:p>
    <w:p>
      <w:r>
        <w:t>FR: ATF 135 III 405</w:t>
      </w:r>
    </w:p>
    <w:p>
      <w:r>
        <w:t>IT: DTF 135 III 405</w:t>
      </w:r>
    </w:p>
    <w:p>
      <w:pPr>
        <w:pStyle w:val="Heading2"/>
      </w:pPr>
      <w:r>
        <w:t>Regeste</w:t>
      </w:r>
    </w:p>
    <w:p>
      <w:r>
        <w:t>Regeste Ungerechtfertigte Entlassung (Art. 337c OR); Verletzung der Persönlichkeitsrechte (Art. 328 OR); entgangener Gewinn (Art. 97 OR). Art. 337c OR regelt vertragsrechtlich abschliessend die finanziellen Folgen einer ungerechtfertigten Entlassung in Form von Schadenersatz (Abs. 1) sowie einer Entschädigung sui generis (Abs. 3). Verlangt der Arbeitnehmer zusätzlichen Schadenersatz wie etwa einen entgangenen Gewinn nach ordentlicher Beendigung des Vertrags, so hat er entweder eine Persönlichkeitsverletzung zu beweisen, die über jene wegen ungerechtfertigter Entlassung hinausgeht, oder die Verletzung einer anderen, nicht aus Art. 328 OR folgenden Vertragspflicht (E. 3.1 und 3.2).</w:t>
      </w:r>
    </w:p>
    <w:p>
      <w:pPr>
        <w:pStyle w:val="Heading2"/>
      </w:pPr>
      <w:r>
        <w:t>Erwägungen</w:t>
      </w:r>
    </w:p>
    <w:p>
      <w:r>
        <w:rPr>
          <w:b/>
        </w:rPr>
        <w:t>E. 3</w:t>
      </w:r>
    </w:p>
    <w:p>
      <w:r>
        <w:t>(...)</w:t>
      </w:r>
    </w:p>
    <w:p>
      <w:r>
        <w:rPr>
          <w:b/>
        </w:rPr>
        <w:t>E. 3.1</w:t>
      </w:r>
    </w:p>
    <w:p>
      <w:r>
        <w:t>En premier lieu, il convient de rappeler quelles sont les conséquences pécuniaires prévues par l' art. 337c CO en cas de résiliation immédiate injustifiée du contrat de travail: le travailleur a droit à des dommages-intérêts, correspondant à ce qu'il aurait gagné si les rapports de travail avaient pris fin à l'échéance du délai de congé ou à la fin du contrat de durée déterminée ( art. 337c al. 1 CO ; ATF 123 V 5 consid. 3b p. 9 et les arrêts cités) ainsi que, sauf cas exceptionnel, à une indemnité représentant au maximum six mois de salaire et fixée en tenant compte de toutes les circonstances ( art. 337c al. 3 CO ). Cette indemnité-ci est de même nature et vise les mêmes buts que l'indemnité prévue à l' art. 336a CO en cas de licenciement abusif ( ATF 123 V 5 consid. 2a p. 7). La nature juridique de l'indemnité prescrite à l' 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Le Tribunal fédéral a aussi précisé qu'en réservant, à l'art. 336a al. 2 in fine CO, les dommages-intérêts que la victime du congé pourrait exiger à un autre titre, le législateur avait simplement laissé ouvert le droit du travailleur de réclamer la réparation du préjudice résultant d'une cause autre que le caractère abusif du congé. BGE 135 III 405 S. 408 Cette jurisprudence a eu pour conséquence que, contrairement à ce qui avait été jugé précédemment ( ATF 119 II 157 consid. 2b p. 160), le congé abusif ne fonde, en lui-même, aucune prétention supplémentaire à des dommages-intérêts, liés par exemple à une baisse de revenu lors d'une période de chômage subséquente au licenciement; la réserve de l' art. 336a al. 2 2 e phrase CO ne concerne pas les dommages-intérêts dus sur la base d'une autre disposition - singulièrement l' art. 97 CO - mais ceux découlant d'une autre cause, comme par exemple un licenciement assorti de faux renseignements à des tiers (STREIFF/VON KAENEL, Arbeitsvertrag, 6 e éd. 2006, n° 8 ad art. 336a CO , p. 708; WOLFGANG PORTMANN, Zur Schadenersatzbemessung im Arbeitsvertragsrecht, in Festschrift für Heinz Rey, 2003, p. 491). Par ailleurs, les indemnités des art. 336a et 337c al. 3 CO couvrent en principe tout le tort moral subi par le travailleur licencié. Le Tribunal fédéral admet toutefois l'application cumulative de l' art. 49 CO dans des situations exceptionnelles, lorsque l'atteinte portée aux droits de la personnalité du travailleur est grave au point qu'une indemnité correspondant à six mois de salaire ne suffit pas à la réparer (arrêts 4C.463/1999 consid. 9c, non publié in ATF 126 III 395 ; 4C.177/2003 du 21 octobre 2003 consid. 4.1; RÉMY WYLER, Droit du travail, 2 e éd. 2008, p. 518).</w:t>
      </w:r>
    </w:p>
    <w:p>
      <w:r>
        <w:rPr>
          <w:b/>
        </w:rPr>
        <w:t>E. 3.2</w:t>
      </w:r>
    </w:p>
    <w:p>
      <w:r>
        <w:t>Comme il le relève à juste titre, le recourant réclame en l'espèce des dommages-intérêts, plus précisément la réparation du gain manqué qu'il considère avoir subi à la suite du licenciement immédiat injustifié du 11 février 2002. La Cour d'appel s'est dès lors méprise en évoquant une indemnité "pour tort moral" dont l'allocation ne serait pas justifiée en sus de l'indemnité fondée sur l' art. 337c al. 3 CO . Cela étant, il reste à examiner si cette erreur porte à conséquence, autrement dit si le recourant, qui invoque une atteinte à sa personnalité contraire à l' art. 328 CO , peut prétendre en l'occurrence à des dommages-intérêts fondés sur la responsabilité contractuelle de l'employeur ( art. 97 CO ). La réglementation sur les conséquences d'une résiliation immédiate injustifiée du contrat de travail ne comporte pas une réserve équivalente à celle de l' art. 336a al. 2 2 e phrase CO. Cependant, telle qu'interprétée dans la jurisprudence (cf. consid. 3.1 supra), cette disposition n'apporte rien de plus que le rappel d'un principe général (BRUNNER/BÜHLER/WAEBER/BRUCHEZ, Commentaire du contrat de travail, 3 e éd. 2004, p. 260). L'absence de réserve à l' art. 337c CO BGE 135 III 405 S. 409 n'empêche dès lors pas de tirer un parallèle entre les conséquences pécuniaires d'un licenciement abusif et celles d'un licenciement immédiat injustifié. A l'instar d'une résiliation abusive, tout congé immédiat qui ne repose pas sur un juste motif comporte une atteinte aux droits de la personnalité du travailleur. Cette atteinte ouvre les droits précisément décrits à l' art. 337c CO , soit des dommages-intérêts (al. 1) et une indemnité sui generis (al. 3) dont il est admis qu'elle peut prendre en compte les effets économiques du licenciement (cf. consid. 3.1 supra). Il faut admettre que ces dispositions règlent exhaustivement, sous l'angle contractuel, les conséquences pécuniaires d'un licenciement immédiat injustifié (MANFRED REHBINDER, Berner Kommentar, 2 e éd. 1992, n° 13 ad art. 337c CO ).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 art. 328 CO . Ainsi, l'ancien employeur devra verser des dommages-intérêts à son ancien employé s'il a fourni sur ce dernier des renseignements faux et attentatoires à l'honneur et découragé de la sorte un employeur d'engager la personne en question (cf. arrêt 4C.322/1998 du 11 mai 1999; cf. également arrêt 4C.379/2002 du 22 avril 2003). De même, le refus arbitraire de l'ancien employeur de communiquer des références sur un ancien employé à un employeur intéressé constitue une violation de l'obligation contractuelle de diligence susceptible de donner naissance à une prétention en dommages-intérêts (WYLER, op. cit., p. 312/313).</w:t>
      </w:r>
    </w:p>
    <w:p>
      <w:r>
        <w:rPr>
          <w:b/>
        </w:rPr>
        <w:t>E. 3.3</w:t>
      </w:r>
    </w:p>
    <w:p>
      <w:r>
        <w:t>(résumé: Dans les circonstances de l'espèce, la remise, seulement après la fin de la première procédure, d'un certificat de travail limité à la durée et à la nature des rapports de travail, ne constitue pas la violation d'une obligation contractuelle de l'employeur. Par ailleurs, en rapport avec le licenciement immédiat injustifié, le recourant n'a pas démontré une atteinte aux droits de la personnalité plus étendue que celle qui a déjà donné lieu à l'octroi de dommages-intérêts sur la base de l' art. 337c al. 1 CO et d'une indemnité au sens de l' art. 337c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